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A6D69">
              <w:rPr>
                <w:rFonts w:cstheme="minorHAnsi"/>
                <w:sz w:val="28"/>
                <w:szCs w:val="28"/>
              </w:rPr>
              <w:t>663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A6D69">
              <w:rPr>
                <w:rFonts w:cstheme="minorHAnsi"/>
                <w:sz w:val="28"/>
                <w:szCs w:val="28"/>
              </w:rPr>
              <w:t>663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A6D69" w:rsidRDefault="002A6D69" w:rsidP="00F95D64">
            <w:pPr>
              <w:cnfStyle w:val="000000000000"/>
              <w:rPr>
                <w:sz w:val="28"/>
                <w:szCs w:val="28"/>
              </w:rPr>
            </w:pPr>
            <w:r w:rsidRPr="002A6D69">
              <w:rPr>
                <w:sz w:val="28"/>
                <w:szCs w:val="28"/>
              </w:rPr>
              <w:t>Классификатор – кодификатор свойств полимерных материалов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2A6D6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2017-08-23T13:09:00Z</dcterms:created>
  <dcterms:modified xsi:type="dcterms:W3CDTF">2017-08-23T13:11:00Z</dcterms:modified>
</cp:coreProperties>
</file>