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2F3A77">
              <w:rPr>
                <w:rFonts w:cstheme="minorHAnsi"/>
                <w:sz w:val="28"/>
                <w:szCs w:val="28"/>
              </w:rPr>
              <w:t>607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2F3A77">
              <w:rPr>
                <w:rFonts w:cstheme="minorHAnsi"/>
                <w:sz w:val="28"/>
                <w:szCs w:val="28"/>
              </w:rPr>
              <w:t>607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2F3A77" w:rsidRDefault="002F3A77" w:rsidP="00F95D64">
            <w:pPr>
              <w:cnfStyle w:val="000000000000"/>
              <w:rPr>
                <w:sz w:val="28"/>
                <w:szCs w:val="28"/>
              </w:rPr>
            </w:pPr>
            <w:r w:rsidRPr="002F3A77">
              <w:rPr>
                <w:sz w:val="28"/>
                <w:szCs w:val="28"/>
              </w:rPr>
              <w:t>Средства измерения температуры поверхности твердых тел.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0E74A9" w:rsidRDefault="00666BBF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B5AF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2017-08-23T12:56:00Z</dcterms:created>
  <dcterms:modified xsi:type="dcterms:W3CDTF">2017-08-23T12:57:00Z</dcterms:modified>
</cp:coreProperties>
</file>