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3C4A39">
              <w:rPr>
                <w:rFonts w:cstheme="minorHAnsi"/>
                <w:sz w:val="28"/>
                <w:szCs w:val="28"/>
              </w:rPr>
              <w:t>604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C4A39">
              <w:rPr>
                <w:rFonts w:cstheme="minorHAnsi"/>
                <w:sz w:val="28"/>
                <w:szCs w:val="28"/>
              </w:rPr>
              <w:t>604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229BC" w:rsidRDefault="006229BC" w:rsidP="00F95D64">
            <w:pPr>
              <w:cnfStyle w:val="000000000000"/>
              <w:rPr>
                <w:sz w:val="28"/>
                <w:szCs w:val="28"/>
              </w:rPr>
            </w:pPr>
            <w:r w:rsidRPr="006229BC">
              <w:rPr>
                <w:sz w:val="28"/>
                <w:szCs w:val="28"/>
              </w:rPr>
              <w:t>Меры длины концевые плоскопараллельные. Общие требования к методикам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666BB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229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2017-08-23T12:49:00Z</dcterms:created>
  <dcterms:modified xsi:type="dcterms:W3CDTF">2017-08-23T12:55:00Z</dcterms:modified>
</cp:coreProperties>
</file>