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CA622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259E7">
              <w:rPr>
                <w:rFonts w:cstheme="minorHAnsi"/>
                <w:sz w:val="28"/>
                <w:szCs w:val="28"/>
                <w:lang w:val="en-US"/>
              </w:rPr>
              <w:t>1532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CA622E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259E7">
              <w:rPr>
                <w:rFonts w:cstheme="minorHAnsi"/>
                <w:sz w:val="28"/>
                <w:szCs w:val="28"/>
                <w:lang w:val="en-US"/>
              </w:rPr>
              <w:t>1532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259E7" w:rsidRDefault="003259E7" w:rsidP="00E32BA6">
            <w:pPr>
              <w:cnfStyle w:val="000000000000"/>
              <w:rPr>
                <w:sz w:val="28"/>
                <w:szCs w:val="28"/>
              </w:rPr>
            </w:pPr>
            <w:r w:rsidRPr="003259E7">
              <w:rPr>
                <w:sz w:val="28"/>
                <w:szCs w:val="28"/>
              </w:rPr>
              <w:t>Уровни рамные и брусковые для машиностроения.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3259E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2017-08-23T11:43:00Z</dcterms:created>
  <dcterms:modified xsi:type="dcterms:W3CDTF">2017-08-23T11:44:00Z</dcterms:modified>
</cp:coreProperties>
</file>