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4133D2">
              <w:rPr>
                <w:rFonts w:cstheme="minorHAnsi"/>
                <w:sz w:val="28"/>
                <w:szCs w:val="28"/>
              </w:rPr>
              <w:t>3</w:t>
            </w:r>
            <w:r w:rsidR="00C601DF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4133D2">
              <w:rPr>
                <w:rFonts w:cstheme="minorHAnsi"/>
                <w:sz w:val="28"/>
                <w:szCs w:val="28"/>
              </w:rPr>
              <w:t>3</w:t>
            </w:r>
            <w:r w:rsidR="00C601DF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601DF" w:rsidRDefault="00C601DF" w:rsidP="00364DBE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601DF">
              <w:rPr>
                <w:sz w:val="28"/>
                <w:szCs w:val="28"/>
              </w:rPr>
              <w:t>Методика поверки спиртомеров металлических образцовых 2-го разряда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4133D2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601DF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1C2B-6ACE-40E5-AD36-0CC47E9A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2017-08-17T08:56:00Z</dcterms:created>
  <dcterms:modified xsi:type="dcterms:W3CDTF">2017-08-17T08:56:00Z</dcterms:modified>
</cp:coreProperties>
</file>