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86B5C">
              <w:rPr>
                <w:rFonts w:cstheme="minorHAnsi"/>
                <w:sz w:val="28"/>
                <w:szCs w:val="28"/>
                <w:lang w:val="en-US"/>
              </w:rPr>
              <w:t>1279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86B5C">
              <w:rPr>
                <w:rFonts w:cstheme="minorHAnsi"/>
                <w:sz w:val="28"/>
                <w:szCs w:val="28"/>
                <w:lang w:val="en-US"/>
              </w:rPr>
              <w:t>1279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486B5C" w:rsidRDefault="00486B5C" w:rsidP="00DD1C90">
            <w:pPr>
              <w:cnfStyle w:val="000000000000"/>
              <w:rPr>
                <w:sz w:val="28"/>
                <w:szCs w:val="28"/>
              </w:rPr>
            </w:pPr>
            <w:r w:rsidRPr="00486B5C">
              <w:rPr>
                <w:sz w:val="28"/>
                <w:szCs w:val="28"/>
              </w:rPr>
              <w:t>Компараторы образцовые электротензометрические ОЭК.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486B5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486B5C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nr. 815-M din 24.10.2000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2017-08-23T10:43:00Z</dcterms:created>
  <dcterms:modified xsi:type="dcterms:W3CDTF">2017-08-23T10:44:00Z</dcterms:modified>
</cp:coreProperties>
</file>