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E43E3">
              <w:rPr>
                <w:rFonts w:cstheme="minorHAnsi"/>
                <w:sz w:val="28"/>
                <w:szCs w:val="28"/>
              </w:rPr>
              <w:t>12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E43E3">
              <w:rPr>
                <w:rFonts w:cstheme="minorHAnsi"/>
                <w:sz w:val="28"/>
                <w:szCs w:val="28"/>
              </w:rPr>
              <w:t>12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E43E3" w:rsidRDefault="001E43E3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E43E3">
              <w:rPr>
                <w:sz w:val="28"/>
                <w:szCs w:val="28"/>
              </w:rPr>
              <w:t>Методика поверки ударных акселерометров в установках с параметрическим возбуждением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1E43E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4FAA-6097-457F-BAF3-CCE4235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2017-08-17T08:38:00Z</dcterms:created>
  <dcterms:modified xsi:type="dcterms:W3CDTF">2017-08-17T08:39:00Z</dcterms:modified>
</cp:coreProperties>
</file>