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DD1C90">
              <w:rPr>
                <w:rFonts w:cstheme="minorHAnsi"/>
                <w:sz w:val="28"/>
                <w:szCs w:val="28"/>
                <w:lang w:val="en-US"/>
              </w:rPr>
              <w:t>1106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A531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DD1C90">
              <w:rPr>
                <w:rFonts w:cstheme="minorHAnsi"/>
                <w:sz w:val="28"/>
                <w:szCs w:val="28"/>
                <w:lang w:val="en-US"/>
              </w:rPr>
              <w:t>1106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D1C90" w:rsidRDefault="00DD1C90" w:rsidP="00DD1C90">
            <w:pPr>
              <w:cnfStyle w:val="000000000000"/>
              <w:rPr>
                <w:sz w:val="28"/>
                <w:szCs w:val="28"/>
              </w:rPr>
            </w:pPr>
            <w:r w:rsidRPr="00DD1C90">
              <w:rPr>
                <w:sz w:val="28"/>
                <w:szCs w:val="28"/>
              </w:rPr>
              <w:t>Методические указания. Измерители напряженности поля с рамочными антеннами диапазоне частот 0,01-30 МГц.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062FF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2017-08-23T07:20:00Z</dcterms:created>
  <dcterms:modified xsi:type="dcterms:W3CDTF">2017-08-23T07:20:00Z</dcterms:modified>
</cp:coreProperties>
</file>