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27A58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AF283B">
              <w:rPr>
                <w:rFonts w:cstheme="minorHAnsi"/>
                <w:sz w:val="28"/>
                <w:szCs w:val="28"/>
                <w:lang w:val="en-US"/>
              </w:rPr>
              <w:t>104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27A58" w:rsidRDefault="006474D5" w:rsidP="00CC7AA5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AF283B">
              <w:rPr>
                <w:rFonts w:cstheme="minorHAnsi"/>
                <w:sz w:val="28"/>
                <w:szCs w:val="28"/>
                <w:lang w:val="en-US"/>
              </w:rPr>
              <w:t>104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AF283B" w:rsidRDefault="00AF283B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AF283B">
              <w:rPr>
                <w:sz w:val="28"/>
                <w:szCs w:val="28"/>
              </w:rPr>
              <w:t>Методика поверки коэрцитиметров типа КИФМ-1 (КФ-1)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C667C" w:rsidRDefault="008D3F46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AF283B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F138C-A27C-4E44-BE3A-8F44D857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2017-08-17T08:24:00Z</dcterms:created>
  <dcterms:modified xsi:type="dcterms:W3CDTF">2017-08-17T08:26:00Z</dcterms:modified>
</cp:coreProperties>
</file>