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8D3F46">
              <w:rPr>
                <w:rFonts w:cstheme="minorHAnsi"/>
                <w:sz w:val="28"/>
                <w:szCs w:val="28"/>
                <w:lang w:val="en-US"/>
              </w:rPr>
              <w:t>103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8D3F46">
              <w:rPr>
                <w:rFonts w:cstheme="minorHAnsi"/>
                <w:sz w:val="28"/>
                <w:szCs w:val="28"/>
                <w:lang w:val="en-US"/>
              </w:rPr>
              <w:t>103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D3F46" w:rsidRDefault="008D3F46" w:rsidP="007C667C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8D3F46">
              <w:rPr>
                <w:sz w:val="28"/>
                <w:szCs w:val="28"/>
              </w:rPr>
              <w:t xml:space="preserve">Методика измерения линейных параметров поперечного сечения цилиндрических деталей </w:t>
            </w:r>
          </w:p>
          <w:p w:rsidR="008F36E3" w:rsidRPr="008D3F46" w:rsidRDefault="008D3F46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D3F46">
              <w:rPr>
                <w:sz w:val="28"/>
                <w:szCs w:val="28"/>
              </w:rPr>
              <w:t>с учетом отклонения формы сечения от круга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8D3F4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300E-6123-458A-966F-F3330D47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2017-08-17T08:24:00Z</dcterms:created>
  <dcterms:modified xsi:type="dcterms:W3CDTF">2017-08-17T08:24:00Z</dcterms:modified>
</cp:coreProperties>
</file>