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741092">
              <w:rPr>
                <w:rFonts w:cstheme="minorHAnsi"/>
                <w:sz w:val="28"/>
                <w:szCs w:val="28"/>
                <w:lang w:val="en-US"/>
              </w:rPr>
              <w:t>1012</w:t>
            </w:r>
            <w:r w:rsidR="00A234F8"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A234F8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741092">
              <w:rPr>
                <w:rFonts w:cstheme="minorHAnsi"/>
                <w:sz w:val="28"/>
                <w:szCs w:val="28"/>
                <w:lang w:val="en-US"/>
              </w:rPr>
              <w:t>1012</w:t>
            </w:r>
            <w:r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41092" w:rsidRDefault="00741092" w:rsidP="006B313B">
            <w:pPr>
              <w:cnfStyle w:val="000000000000"/>
              <w:rPr>
                <w:sz w:val="28"/>
                <w:szCs w:val="28"/>
              </w:rPr>
            </w:pPr>
            <w:r w:rsidRPr="00741092">
              <w:rPr>
                <w:sz w:val="28"/>
                <w:szCs w:val="28"/>
              </w:rPr>
              <w:t>Методические указания. Приборы «ЭКВОТИП» для измерения твердости металлов.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74109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2017-08-23T06:54:00Z</dcterms:created>
  <dcterms:modified xsi:type="dcterms:W3CDTF">2017-08-23T06:54:00Z</dcterms:modified>
</cp:coreProperties>
</file>